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C172" w14:textId="0F6BAEDA" w:rsidR="00F265F9" w:rsidRPr="00554587" w:rsidRDefault="00947280" w:rsidP="00947280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Жергілікті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атқарушы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органдар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көрсететін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қызметтердің</w:t>
      </w:r>
      <w:proofErr w:type="spellEnd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5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тізімі</w:t>
      </w:r>
      <w:proofErr w:type="spellEnd"/>
    </w:p>
    <w:tbl>
      <w:tblPr>
        <w:tblStyle w:val="a4"/>
        <w:tblW w:w="14557" w:type="dxa"/>
        <w:tblInd w:w="-3" w:type="dxa"/>
        <w:tblLook w:val="04A0" w:firstRow="1" w:lastRow="0" w:firstColumn="1" w:lastColumn="0" w:noHBand="0" w:noVBand="1"/>
      </w:tblPr>
      <w:tblGrid>
        <w:gridCol w:w="1243"/>
        <w:gridCol w:w="1823"/>
        <w:gridCol w:w="2224"/>
        <w:gridCol w:w="2316"/>
        <w:gridCol w:w="2490"/>
        <w:gridCol w:w="4461"/>
      </w:tblGrid>
      <w:tr w:rsidR="00554587" w:rsidRPr="00554587" w14:paraId="65B11E44" w14:textId="77777777" w:rsidTr="00CD251F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1DA678" w14:textId="471FA2FA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№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Тізілім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81F17" w14:textId="23BC3826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қызметтердің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D727F" w14:textId="06C2CFCB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қызметті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A44E2" w14:textId="77777777" w:rsidR="00947280" w:rsidRPr="00554587" w:rsidRDefault="00947280" w:rsidP="00947280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көрсету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тәртібін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айқындайтын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заңға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тәуелді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нормативтік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құқықтық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актінің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p w14:paraId="38BE545E" w14:textId="71217D65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(«</w:t>
            </w:r>
            <w:proofErr w:type="spellStart"/>
            <w:proofErr w:type="gramStart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Әділет»ЖЗШ</w:t>
            </w:r>
            <w:proofErr w:type="spellEnd"/>
            <w:proofErr w:type="gramEnd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гиперсілтемесімен</w:t>
            </w:r>
            <w:proofErr w:type="spellEnd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49017" w14:textId="77777777" w:rsidR="00947280" w:rsidRPr="00554587" w:rsidRDefault="00947280" w:rsidP="00947280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4587">
              <w:rPr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Әділет</w:t>
            </w:r>
            <w:proofErr w:type="spellEnd"/>
            <w:r w:rsidRPr="00554587">
              <w:rPr>
                <w:b/>
                <w:bCs/>
                <w:color w:val="000000"/>
                <w:sz w:val="28"/>
                <w:szCs w:val="28"/>
              </w:rPr>
              <w:t>» АҚЖ-да</w:t>
            </w:r>
          </w:p>
          <w:p w14:paraId="71A89AB1" w14:textId="77777777" w:rsidR="00947280" w:rsidRPr="00554587" w:rsidRDefault="00947280" w:rsidP="00947280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54587">
              <w:rPr>
                <w:b/>
                <w:bCs/>
                <w:color w:val="000000"/>
                <w:sz w:val="28"/>
                <w:szCs w:val="28"/>
              </w:rPr>
              <w:t>Орналастырылған</w:t>
            </w:r>
            <w:proofErr w:type="spellEnd"/>
          </w:p>
          <w:p w14:paraId="78B77901" w14:textId="6C437E6C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Ережелерге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сілтеме</w:t>
            </w:r>
            <w:proofErr w:type="spellEnd"/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AA19EB" w14:textId="7455D477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№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Тізілім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</w:tr>
      <w:tr w:rsidR="00947280" w:rsidRPr="00554587" w14:paraId="08C55FFE" w14:textId="77777777" w:rsidTr="00554587">
        <w:tc>
          <w:tcPr>
            <w:tcW w:w="14557" w:type="dxa"/>
            <w:gridSpan w:val="6"/>
          </w:tcPr>
          <w:p w14:paraId="74A21325" w14:textId="47ED2174" w:rsidR="00947280" w:rsidRPr="00554587" w:rsidRDefault="00947280" w:rsidP="00947280">
            <w:pPr>
              <w:ind w:right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58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55458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55458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саласында</w:t>
            </w:r>
            <w:proofErr w:type="spellEnd"/>
          </w:p>
        </w:tc>
      </w:tr>
      <w:tr w:rsidR="00554587" w:rsidRPr="00554587" w14:paraId="373A1EAD" w14:textId="77777777" w:rsidTr="00CD251F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035F8" w14:textId="5C5347F1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232263" w14:textId="01FBC3F8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B321E" w14:textId="3299A549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ұйымдарға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құжаттардықа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былдау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балалардықа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былдау</w:t>
            </w:r>
            <w:proofErr w:type="spellEnd"/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E7001" w14:textId="0512945C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Қостанай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басқармасының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Лисаков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бөлімінің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CD25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Болашақ</w:t>
            </w: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бөбекжайы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коммуналдық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қазыналық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кәсіпорны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BBEA9" w14:textId="3DA4D2D1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"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Мектепке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дейінгі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саласында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мемлекеттік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қызметтер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көрсету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қағидаларын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бекіту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туралы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Қазақстан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Республикасы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ғылым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министрінің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2020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жылғы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19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маусымдағы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№ 254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бұйрығы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86162" w14:textId="77777777" w:rsidR="00947280" w:rsidRPr="00554587" w:rsidRDefault="00947280" w:rsidP="00947280">
            <w:pPr>
              <w:pStyle w:val="a5"/>
              <w:spacing w:before="0" w:beforeAutospacing="0"/>
              <w:ind w:left="20"/>
              <w:rPr>
                <w:color w:val="000000"/>
                <w:sz w:val="28"/>
                <w:szCs w:val="28"/>
              </w:rPr>
            </w:pPr>
            <w:r w:rsidRPr="00554587">
              <w:rPr>
                <w:color w:val="000000"/>
                <w:sz w:val="28"/>
                <w:szCs w:val="28"/>
              </w:rPr>
              <w:t> </w:t>
            </w:r>
          </w:p>
          <w:p w14:paraId="47DE539A" w14:textId="48FCD50D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https://adilet.zan.kz/kaz/docs/V2000020883</w:t>
              </w:r>
            </w:hyperlink>
          </w:p>
        </w:tc>
      </w:tr>
      <w:tr w:rsidR="00947280" w:rsidRPr="00554587" w14:paraId="17B312BF" w14:textId="77777777" w:rsidTr="00CD251F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B7A39F" w14:textId="2EBE4283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CDD42" w14:textId="540A7A86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1064B" w14:textId="310B45D7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санаттарын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үшін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ведомстволық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бағынысты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педагогтерін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B3280" w14:textId="53230F4A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Қостанай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басқармасының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Лисаков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бөлімінің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="0055458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Болашақ</w:t>
            </w: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бөбекжайы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коммуналдық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қазыналық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кәсіпорны</w:t>
            </w:r>
            <w:proofErr w:type="spellEnd"/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D4EBD" w14:textId="780EC489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"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оқытуды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бастауыш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орта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білімненкейінгі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ұйымдарында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істейтін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педагогтерді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азаматтық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қызметшілерді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қағидаларымен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шарттарын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Республикасы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министрінің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2016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жылғы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қаңтардағы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83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6A498" w14:textId="77777777" w:rsidR="00947280" w:rsidRPr="00554587" w:rsidRDefault="00947280" w:rsidP="00947280">
            <w:pPr>
              <w:pStyle w:val="a5"/>
              <w:spacing w:before="0" w:beforeAutospacing="0"/>
              <w:ind w:left="20"/>
              <w:rPr>
                <w:color w:val="000000"/>
                <w:sz w:val="28"/>
                <w:szCs w:val="28"/>
              </w:rPr>
            </w:pPr>
            <w:hyperlink r:id="rId5" w:history="1">
              <w:r w:rsidRPr="00554587">
                <w:rPr>
                  <w:rStyle w:val="a7"/>
                  <w:color w:val="0063BF"/>
                  <w:sz w:val="28"/>
                  <w:szCs w:val="28"/>
                </w:rPr>
                <w:t>https://adilet.zan.kz/kaz/docs/V1600013317</w:t>
              </w:r>
            </w:hyperlink>
          </w:p>
          <w:p w14:paraId="30827444" w14:textId="5335398D" w:rsidR="00947280" w:rsidRPr="00554587" w:rsidRDefault="00947280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54587" w:rsidRPr="00554587" w14:paraId="57C84956" w14:textId="77777777" w:rsidTr="00CD251F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2EC26" w14:textId="1F7D7F76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br/>
              <w:t>№ по Реестру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8A4193" w14:textId="2C8FA5F1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госуслуги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28116" w14:textId="1DDDD164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69DB4" w14:textId="77777777" w:rsidR="00554587" w:rsidRPr="00554587" w:rsidRDefault="00554587" w:rsidP="00554587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4587">
              <w:rPr>
                <w:b/>
                <w:bCs/>
                <w:color w:val="000000"/>
                <w:sz w:val="28"/>
                <w:szCs w:val="28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  <w:p w14:paraId="151F1D49" w14:textId="35CCDAF5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 гиперссылкой на ИПС «</w:t>
            </w:r>
            <w:proofErr w:type="spellStart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Әділет</w:t>
            </w:r>
            <w:proofErr w:type="spellEnd"/>
            <w:r w:rsidRPr="00554587">
              <w:rPr>
                <w:rStyle w:val="a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F8B74F" w14:textId="77777777" w:rsidR="00554587" w:rsidRPr="00554587" w:rsidRDefault="00554587" w:rsidP="00554587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4587">
              <w:rPr>
                <w:b/>
                <w:bCs/>
                <w:color w:val="000000"/>
                <w:sz w:val="28"/>
                <w:szCs w:val="28"/>
              </w:rPr>
              <w:t>Ссылка</w:t>
            </w:r>
          </w:p>
          <w:p w14:paraId="769CFE0E" w14:textId="77777777" w:rsidR="00554587" w:rsidRPr="00554587" w:rsidRDefault="00554587" w:rsidP="00554587">
            <w:pPr>
              <w:pStyle w:val="a5"/>
              <w:spacing w:before="0" w:beforeAutospacing="0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4587">
              <w:rPr>
                <w:b/>
                <w:bCs/>
                <w:color w:val="000000"/>
                <w:sz w:val="28"/>
                <w:szCs w:val="28"/>
              </w:rPr>
              <w:t>на Правила, размещенные</w:t>
            </w:r>
          </w:p>
          <w:p w14:paraId="65B32966" w14:textId="7FCB4D4D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ИПС «</w:t>
            </w:r>
            <w:proofErr w:type="spellStart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Әділет</w:t>
            </w:r>
            <w:proofErr w:type="spellEnd"/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80A85" w14:textId="35618AAB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№ по Реестру</w:t>
            </w:r>
          </w:p>
        </w:tc>
      </w:tr>
      <w:tr w:rsidR="00554587" w:rsidRPr="00554587" w14:paraId="02914354" w14:textId="77777777" w:rsidTr="00554587">
        <w:tc>
          <w:tcPr>
            <w:tcW w:w="14557" w:type="dxa"/>
            <w:gridSpan w:val="6"/>
          </w:tcPr>
          <w:p w14:paraId="69808593" w14:textId="5F3C78E2" w:rsidR="00554587" w:rsidRPr="00554587" w:rsidRDefault="00554587" w:rsidP="00947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сфере образования</w:t>
            </w:r>
          </w:p>
        </w:tc>
      </w:tr>
      <w:tr w:rsidR="00554587" w:rsidRPr="00554587" w14:paraId="357F2C29" w14:textId="77777777" w:rsidTr="00CD251F"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5A444" w14:textId="020B0CA4" w:rsidR="00554587" w:rsidRPr="00CD251F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2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2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B799B" w14:textId="478740B2" w:rsidR="00554587" w:rsidRPr="00554587" w:rsidRDefault="00CD251F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4EBED" w14:textId="5BC63D0B" w:rsidR="00554587" w:rsidRPr="00554587" w:rsidRDefault="00CD251F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и зачисление детей в дошкольные организации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BC94A" w14:textId="54AD6143" w:rsidR="00554587" w:rsidRPr="00554587" w:rsidRDefault="00CD251F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государственное казенное предприятие "Ясли-сад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Болашақ</w:t>
            </w: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Лисаковска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Управления образования акимата </w:t>
            </w: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Костанайской области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60381" w14:textId="72883BAB" w:rsidR="00554587" w:rsidRPr="00554587" w:rsidRDefault="00CD251F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  </w:r>
            </w:hyperlink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87554" w14:textId="77777777" w:rsidR="00CD251F" w:rsidRPr="00554587" w:rsidRDefault="00554587" w:rsidP="00CD251F">
            <w:pPr>
              <w:pStyle w:val="a5"/>
              <w:spacing w:before="0" w:beforeAutospacing="0"/>
              <w:ind w:left="20"/>
              <w:rPr>
                <w:color w:val="000000"/>
                <w:sz w:val="28"/>
                <w:szCs w:val="28"/>
              </w:rPr>
            </w:pPr>
            <w:r w:rsidRPr="00554587">
              <w:rPr>
                <w:color w:val="000000"/>
                <w:sz w:val="28"/>
                <w:szCs w:val="28"/>
              </w:rPr>
              <w:br/>
            </w:r>
            <w:r w:rsidR="00CD251F" w:rsidRPr="00554587">
              <w:rPr>
                <w:color w:val="000000"/>
                <w:sz w:val="28"/>
                <w:szCs w:val="28"/>
              </w:rPr>
              <w:t>                     </w:t>
            </w:r>
            <w:hyperlink r:id="rId7" w:history="1">
              <w:r w:rsidR="00CD251F" w:rsidRPr="00554587">
                <w:rPr>
                  <w:rStyle w:val="a7"/>
                  <w:color w:val="0063BF"/>
                  <w:sz w:val="28"/>
                  <w:szCs w:val="28"/>
                </w:rPr>
                <w:t>https://</w:t>
              </w:r>
            </w:hyperlink>
          </w:p>
          <w:p w14:paraId="62717415" w14:textId="5AB9ED9B" w:rsidR="00554587" w:rsidRPr="00CD251F" w:rsidRDefault="00CD251F" w:rsidP="00CD25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adilet.zan.kz/</w:t>
              </w:r>
              <w:proofErr w:type="spellStart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rus</w:t>
              </w:r>
              <w:proofErr w:type="spellEnd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/</w:t>
              </w:r>
              <w:proofErr w:type="spellStart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docs</w:t>
              </w:r>
              <w:proofErr w:type="spellEnd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/V2000020883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554587" w:rsidRPr="00554587" w14:paraId="07A2665B" w14:textId="77777777" w:rsidTr="00CD251F">
        <w:tc>
          <w:tcPr>
            <w:tcW w:w="1243" w:type="dxa"/>
            <w:vAlign w:val="center"/>
          </w:tcPr>
          <w:p w14:paraId="38031187" w14:textId="7A839266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3" w:type="dxa"/>
            <w:vAlign w:val="center"/>
          </w:tcPr>
          <w:p w14:paraId="68C4275B" w14:textId="249444F3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250.</w:t>
            </w:r>
          </w:p>
        </w:tc>
        <w:tc>
          <w:tcPr>
            <w:tcW w:w="2224" w:type="dxa"/>
            <w:vAlign w:val="center"/>
          </w:tcPr>
          <w:p w14:paraId="4826BA8E" w14:textId="6725D559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</w:t>
            </w:r>
          </w:p>
        </w:tc>
        <w:tc>
          <w:tcPr>
            <w:tcW w:w="2316" w:type="dxa"/>
            <w:vAlign w:val="center"/>
          </w:tcPr>
          <w:p w14:paraId="10CFB407" w14:textId="09FC12C4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государственное казенное предприятие "Ясли-сад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отдела образования города </w:t>
            </w:r>
            <w:proofErr w:type="spellStart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Лисаковска</w:t>
            </w:r>
            <w:proofErr w:type="spellEnd"/>
            <w:r w:rsidRPr="00554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Управления образования акимата Костанайской области</w:t>
            </w:r>
          </w:p>
        </w:tc>
        <w:tc>
          <w:tcPr>
            <w:tcW w:w="2490" w:type="dxa"/>
            <w:vAlign w:val="center"/>
          </w:tcPr>
          <w:p w14:paraId="0B3A2D3D" w14:textId="2F94952A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  </w:r>
              <w:proofErr w:type="spellStart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послесреднего</w:t>
              </w:r>
              <w:proofErr w:type="spellEnd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 xml:space="preserve">, дополнительного образования и специальные </w:t>
              </w:r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lastRenderedPageBreak/>
                <w:t>учебные программы, и иных гражданских служащих в области образования и науки" приказ Министра образования и науки РК от  27 января 2016 года № 83.</w:t>
              </w:r>
            </w:hyperlink>
          </w:p>
        </w:tc>
        <w:tc>
          <w:tcPr>
            <w:tcW w:w="4461" w:type="dxa"/>
            <w:vAlign w:val="center"/>
          </w:tcPr>
          <w:p w14:paraId="722B261A" w14:textId="77777777" w:rsidR="00554587" w:rsidRPr="00554587" w:rsidRDefault="00554587" w:rsidP="00554587">
            <w:pPr>
              <w:pStyle w:val="a5"/>
              <w:spacing w:before="0" w:beforeAutospacing="0"/>
              <w:ind w:left="20"/>
              <w:rPr>
                <w:color w:val="000000"/>
                <w:sz w:val="28"/>
                <w:szCs w:val="28"/>
              </w:rPr>
            </w:pPr>
            <w:r w:rsidRPr="00554587">
              <w:rPr>
                <w:color w:val="000000"/>
                <w:sz w:val="28"/>
                <w:szCs w:val="28"/>
              </w:rPr>
              <w:lastRenderedPageBreak/>
              <w:t>                     </w:t>
            </w:r>
            <w:hyperlink r:id="rId10" w:history="1">
              <w:r w:rsidRPr="00554587">
                <w:rPr>
                  <w:rStyle w:val="a7"/>
                  <w:color w:val="0063BF"/>
                  <w:sz w:val="28"/>
                  <w:szCs w:val="28"/>
                </w:rPr>
                <w:t>https://</w:t>
              </w:r>
            </w:hyperlink>
          </w:p>
          <w:p w14:paraId="51E63595" w14:textId="7C6195F9" w:rsidR="00554587" w:rsidRPr="00554587" w:rsidRDefault="00554587" w:rsidP="0055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adilet.zan.kz/</w:t>
              </w:r>
              <w:proofErr w:type="spellStart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rus</w:t>
              </w:r>
              <w:proofErr w:type="spellEnd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/</w:t>
              </w:r>
              <w:proofErr w:type="spellStart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docs</w:t>
              </w:r>
              <w:proofErr w:type="spellEnd"/>
              <w:r w:rsidRPr="00554587">
                <w:rPr>
                  <w:rStyle w:val="a7"/>
                  <w:rFonts w:ascii="Times New Roman" w:hAnsi="Times New Roman" w:cs="Times New Roman"/>
                  <w:color w:val="0063BF"/>
                  <w:sz w:val="28"/>
                  <w:szCs w:val="28"/>
                </w:rPr>
                <w:t>/V1600013317</w:t>
              </w:r>
            </w:hyperlink>
          </w:p>
        </w:tc>
      </w:tr>
    </w:tbl>
    <w:p w14:paraId="311FA6F4" w14:textId="77777777" w:rsidR="00947280" w:rsidRPr="00554587" w:rsidRDefault="00947280" w:rsidP="009472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280" w:rsidRPr="00554587" w:rsidSect="009472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0C"/>
    <w:rsid w:val="00554587"/>
    <w:rsid w:val="00947280"/>
    <w:rsid w:val="00CD251F"/>
    <w:rsid w:val="00DF120C"/>
    <w:rsid w:val="00F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CE72"/>
  <w15:chartTrackingRefBased/>
  <w15:docId w15:val="{4A590A86-CBA6-47FE-8064-649DF0AF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280"/>
    <w:rPr>
      <w:b/>
      <w:bCs/>
    </w:rPr>
  </w:style>
  <w:style w:type="table" w:styleId="a4">
    <w:name w:val="Table Grid"/>
    <w:basedOn w:val="a1"/>
    <w:uiPriority w:val="39"/>
    <w:rsid w:val="0094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280"/>
    <w:rPr>
      <w:i/>
      <w:iCs/>
    </w:rPr>
  </w:style>
  <w:style w:type="character" w:styleId="a7">
    <w:name w:val="Hyperlink"/>
    <w:basedOn w:val="a0"/>
    <w:uiPriority w:val="99"/>
    <w:semiHidden/>
    <w:unhideWhenUsed/>
    <w:rsid w:val="00947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8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8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883" TargetMode="External"/><Relationship Id="rId11" Type="http://schemas.openxmlformats.org/officeDocument/2006/relationships/hyperlink" Target="https://adilet.zan.kz/rus/docs/V1600013317" TargetMode="External"/><Relationship Id="rId5" Type="http://schemas.openxmlformats.org/officeDocument/2006/relationships/hyperlink" Target="https://adilet.zan.kz/kaz/docs/V1600013317" TargetMode="External"/><Relationship Id="rId10" Type="http://schemas.openxmlformats.org/officeDocument/2006/relationships/hyperlink" Target="https://adilet.zan.kz/rus/docs/V1600013317" TargetMode="External"/><Relationship Id="rId4" Type="http://schemas.openxmlformats.org/officeDocument/2006/relationships/hyperlink" Target="https://adilet.zan.kz/kaz/docs/V2000020883" TargetMode="External"/><Relationship Id="rId9" Type="http://schemas.openxmlformats.org/officeDocument/2006/relationships/hyperlink" Target="https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2025-05-02T11:17:00Z</dcterms:created>
  <dcterms:modified xsi:type="dcterms:W3CDTF">2025-05-02T11:17:00Z</dcterms:modified>
</cp:coreProperties>
</file>